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6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9"/>
        <w:gridCol w:w="567"/>
        <w:gridCol w:w="1135"/>
        <w:gridCol w:w="889"/>
        <w:gridCol w:w="816"/>
        <w:gridCol w:w="1839"/>
        <w:gridCol w:w="857"/>
        <w:gridCol w:w="668"/>
        <w:tblGridChange w:id="0">
          <w:tblGrid>
            <w:gridCol w:w="3089"/>
            <w:gridCol w:w="567"/>
            <w:gridCol w:w="1135"/>
            <w:gridCol w:w="889"/>
            <w:gridCol w:w="816"/>
            <w:gridCol w:w="1839"/>
            <w:gridCol w:w="857"/>
            <w:gridCol w:w="668"/>
          </w:tblGrid>
        </w:tblGridChange>
      </w:tblGrid>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02">
            <w:pPr>
              <w:jc w:val="both"/>
              <w:rPr>
                <w:b w:val="1"/>
              </w:rPr>
            </w:pPr>
            <w:r w:rsidDel="00000000" w:rsidR="00000000" w:rsidRPr="00000000">
              <w:rPr>
                <w:b w:val="1"/>
                <w:rtl w:val="0"/>
              </w:rPr>
              <w:t xml:space="preserve">Název studijního předmětu</w:t>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jc w:val="both"/>
              <w:rPr>
                <w:color w:val="222222"/>
                <w:highlight w:val="white"/>
              </w:rPr>
            </w:pPr>
            <w:r w:rsidDel="00000000" w:rsidR="00000000" w:rsidRPr="00000000">
              <w:rPr>
                <w:color w:val="222222"/>
                <w:highlight w:val="white"/>
                <w:rtl w:val="0"/>
              </w:rPr>
              <w:t xml:space="preserve">Čechoslovakismus – proměny jednoho konceptu</w:t>
            </w:r>
          </w:p>
          <w:p w:rsidR="00000000" w:rsidDel="00000000" w:rsidP="00000000" w:rsidRDefault="00000000" w:rsidRPr="00000000" w14:paraId="00000004">
            <w:pPr>
              <w:jc w:val="both"/>
              <w:rPr>
                <w:b w:val="1"/>
              </w:rPr>
            </w:pPr>
            <w:r w:rsidDel="00000000" w:rsidR="00000000" w:rsidRPr="00000000">
              <w:rPr>
                <w:color w:val="222222"/>
                <w:highlight w:val="white"/>
                <w:rtl w:val="0"/>
              </w:rPr>
              <w:t xml:space="preserve">Vybrané kapitoly ze soudobých dějin 2</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0B">
            <w:pPr>
              <w:jc w:val="both"/>
              <w:rPr>
                <w:b w:val="1"/>
              </w:rPr>
            </w:pPr>
            <w:r w:rsidDel="00000000" w:rsidR="00000000" w:rsidRPr="00000000">
              <w:rPr>
                <w:b w:val="1"/>
                <w:rtl w:val="0"/>
              </w:rPr>
              <w:t xml:space="preserve">Typ předmětu</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pPr>
            <w:r w:rsidDel="00000000" w:rsidR="00000000" w:rsidRPr="00000000">
              <w:rPr>
                <w:rtl w:val="0"/>
              </w:rPr>
              <w:t xml:space="preserve">Povinný</w:t>
            </w:r>
          </w:p>
        </w:tc>
        <w:tc>
          <w:tcPr>
            <w:gridSpan w:val="2"/>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10">
            <w:pPr>
              <w:jc w:val="both"/>
              <w:rPr/>
            </w:pPr>
            <w:r w:rsidDel="00000000" w:rsidR="00000000" w:rsidRPr="00000000">
              <w:rPr>
                <w:b w:val="1"/>
                <w:rtl w:val="0"/>
              </w:rPr>
              <w:t xml:space="preserve">doporučený ročník / semestr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jc w:val="both"/>
              <w:rPr/>
            </w:pPr>
            <w:r w:rsidDel="00000000" w:rsidR="00000000" w:rsidRPr="00000000">
              <w:rPr>
                <w:rtl w:val="0"/>
              </w:rPr>
              <w:t xml:space="preserve">L</w:t>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13">
            <w:pPr>
              <w:jc w:val="both"/>
              <w:rPr>
                <w:b w:val="1"/>
              </w:rPr>
            </w:pPr>
            <w:r w:rsidDel="00000000" w:rsidR="00000000" w:rsidRPr="00000000">
              <w:rPr>
                <w:b w:val="1"/>
                <w:rtl w:val="0"/>
              </w:rPr>
              <w:t xml:space="preserve">Rozsah studijního předmětu</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jc w:val="both"/>
              <w:rPr/>
            </w:pPr>
            <w:r w:rsidDel="00000000" w:rsidR="00000000" w:rsidRPr="00000000">
              <w:rPr>
                <w:rtl w:val="0"/>
              </w:rPr>
              <w:t xml:space="preserve">14p + 14c</w:t>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16">
            <w:pPr>
              <w:jc w:val="both"/>
              <w:rPr>
                <w:b w:val="1"/>
              </w:rPr>
            </w:pPr>
            <w:r w:rsidDel="00000000" w:rsidR="00000000" w:rsidRPr="00000000">
              <w:rPr>
                <w:b w:val="1"/>
                <w:rtl w:val="0"/>
              </w:rPr>
              <w:t xml:space="preserve">hod.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both"/>
              <w:rPr/>
            </w:pPr>
            <w:r w:rsidDel="00000000" w:rsidR="00000000" w:rsidRPr="00000000">
              <w:rPr>
                <w:rtl w:val="0"/>
              </w:rPr>
              <w:t xml:space="preserve">28</w:t>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18">
            <w:pPr>
              <w:jc w:val="both"/>
              <w:rPr>
                <w:b w:val="1"/>
              </w:rPr>
            </w:pPr>
            <w:r w:rsidDel="00000000" w:rsidR="00000000" w:rsidRPr="00000000">
              <w:rPr>
                <w:b w:val="1"/>
                <w:rtl w:val="0"/>
              </w:rPr>
              <w:t xml:space="preserve">kreditů</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jc w:val="both"/>
              <w:rPr/>
            </w:pPr>
            <w:r w:rsidDel="00000000" w:rsidR="00000000" w:rsidRPr="00000000">
              <w:rPr>
                <w:highlight w:val="yellow"/>
                <w:rtl w:val="0"/>
              </w:rPr>
              <w:t xml:space="preserve">XXX</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1B">
            <w:pPr>
              <w:rPr>
                <w:b w:val="1"/>
                <w:sz w:val="22"/>
                <w:szCs w:val="22"/>
              </w:rPr>
            </w:pPr>
            <w:r w:rsidDel="00000000" w:rsidR="00000000" w:rsidRPr="00000000">
              <w:rPr>
                <w:b w:val="1"/>
                <w:rtl w:val="0"/>
              </w:rPr>
              <w:t xml:space="preserve">Prerekvizity, korekvizity, ekvivalence</w:t>
            </w: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jc w:val="both"/>
              <w:rPr/>
            </w:pPr>
            <w:r w:rsidDel="00000000" w:rsidR="00000000" w:rsidRPr="00000000">
              <w:rPr>
                <w:rtl w:val="0"/>
              </w:rPr>
              <w:t xml:space="preserve">Ne</w:t>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23">
            <w:pPr>
              <w:rPr>
                <w:b w:val="1"/>
              </w:rPr>
            </w:pPr>
            <w:r w:rsidDel="00000000" w:rsidR="00000000" w:rsidRPr="00000000">
              <w:rPr>
                <w:b w:val="1"/>
                <w:rtl w:val="0"/>
              </w:rPr>
              <w:t xml:space="preserve">Způsob ověření studijních výsledků</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jc w:val="both"/>
              <w:rPr/>
            </w:pPr>
            <w:r w:rsidDel="00000000" w:rsidR="00000000" w:rsidRPr="00000000">
              <w:rPr>
                <w:rtl w:val="0"/>
              </w:rPr>
              <w:t xml:space="preserve">Zápočet</w:t>
            </w:r>
          </w:p>
        </w:tc>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28">
            <w:pPr>
              <w:jc w:val="both"/>
              <w:rPr>
                <w:b w:val="1"/>
              </w:rPr>
            </w:pPr>
            <w:r w:rsidDel="00000000" w:rsidR="00000000" w:rsidRPr="00000000">
              <w:rPr>
                <w:b w:val="1"/>
                <w:rtl w:val="0"/>
              </w:rPr>
              <w:t xml:space="preserve">Forma výuky</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jc w:val="both"/>
              <w:rPr/>
            </w:pPr>
            <w:r w:rsidDel="00000000" w:rsidR="00000000" w:rsidRPr="00000000">
              <w:rPr>
                <w:rtl w:val="0"/>
              </w:rPr>
              <w:t xml:space="preserve">Přednáška, cvičení</w:t>
            </w:r>
          </w:p>
          <w:p w:rsidR="00000000" w:rsidDel="00000000" w:rsidP="00000000" w:rsidRDefault="00000000" w:rsidRPr="00000000" w14:paraId="0000002A">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2C">
            <w:pPr>
              <w:rPr>
                <w:b w:val="1"/>
              </w:rPr>
            </w:pPr>
            <w:r w:rsidDel="00000000" w:rsidR="00000000" w:rsidRPr="00000000">
              <w:rPr>
                <w:b w:val="1"/>
                <w:rtl w:val="0"/>
              </w:rPr>
              <w:t xml:space="preserve">Forma způsobu ověření studijních výsledků a další požadavky na studenta</w:t>
            </w:r>
          </w:p>
        </w:tc>
        <w:tc>
          <w:tcPr>
            <w:gridSpan w:val="7"/>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2D">
            <w:pPr>
              <w:jc w:val="both"/>
              <w:rPr/>
            </w:pPr>
            <w:r w:rsidDel="00000000" w:rsidR="00000000" w:rsidRPr="00000000">
              <w:rPr>
                <w:rtl w:val="0"/>
              </w:rPr>
              <w:t xml:space="preserve">Aktivní účast na cvičeních (max. 20% absence), individuální prezentace problému na základě vybrané kapitoly z aktuální monografie.</w:t>
            </w:r>
          </w:p>
        </w:tc>
      </w:tr>
      <w:tr>
        <w:trPr>
          <w:trHeight w:val="338" w:hRule="atLeast"/>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jc w:val="both"/>
              <w:rPr/>
            </w:pPr>
            <w:r w:rsidDel="00000000" w:rsidR="00000000" w:rsidRPr="00000000">
              <w:rPr>
                <w:rtl w:val="0"/>
              </w:rPr>
            </w:r>
          </w:p>
        </w:tc>
      </w:tr>
      <w:tr>
        <w:trPr>
          <w:trHeight w:val="197" w:hRule="atLeast"/>
        </w:trPr>
        <w:tc>
          <w:tcPr>
            <w:tcBorders>
              <w:top w:color="000000" w:space="0" w:sz="0" w:val="nil"/>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3C">
            <w:pPr>
              <w:jc w:val="both"/>
              <w:rPr>
                <w:b w:val="1"/>
              </w:rPr>
            </w:pPr>
            <w:r w:rsidDel="00000000" w:rsidR="00000000" w:rsidRPr="00000000">
              <w:rPr>
                <w:b w:val="1"/>
                <w:rtl w:val="0"/>
              </w:rPr>
              <w:t xml:space="preserve">Garant předmětu</w:t>
            </w:r>
          </w:p>
        </w:tc>
        <w:tc>
          <w:tcPr>
            <w:gridSpan w:val="7"/>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jc w:val="both"/>
              <w:rPr/>
            </w:pPr>
            <w:r w:rsidDel="00000000" w:rsidR="00000000" w:rsidRPr="00000000">
              <w:rPr>
                <w:rtl w:val="0"/>
              </w:rPr>
              <w:t xml:space="preserve">PhDr. Milan Ducháček, Ph.D. </w:t>
            </w:r>
            <w:r w:rsidDel="00000000" w:rsidR="00000000" w:rsidRPr="00000000">
              <w:rPr>
                <w:highlight w:val="yellow"/>
                <w:rtl w:val="0"/>
              </w:rPr>
              <w:t xml:space="preserve">???</w:t>
            </w:r>
            <w:r w:rsidDel="00000000" w:rsidR="00000000" w:rsidRPr="00000000">
              <w:rPr>
                <w:rtl w:val="0"/>
              </w:rPr>
            </w:r>
          </w:p>
        </w:tc>
      </w:tr>
      <w:tr>
        <w:trPr>
          <w:trHeight w:val="243" w:hRule="atLeast"/>
        </w:trPr>
        <w:tc>
          <w:tcPr>
            <w:tcBorders>
              <w:top w:color="000000" w:space="0" w:sz="0" w:val="nil"/>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44">
            <w:pPr>
              <w:rPr>
                <w:b w:val="1"/>
              </w:rPr>
            </w:pPr>
            <w:r w:rsidDel="00000000" w:rsidR="00000000" w:rsidRPr="00000000">
              <w:rPr>
                <w:b w:val="1"/>
                <w:rtl w:val="0"/>
              </w:rPr>
              <w:t xml:space="preserve">Zapojení garanta do výuky předmětu</w:t>
            </w:r>
          </w:p>
        </w:tc>
        <w:tc>
          <w:tcPr>
            <w:gridSpan w:val="7"/>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5">
            <w:pPr>
              <w:jc w:val="both"/>
              <w:rPr/>
            </w:pPr>
            <w:r w:rsidDel="00000000" w:rsidR="00000000" w:rsidRPr="00000000">
              <w:rPr>
                <w:rtl w:val="0"/>
              </w:rPr>
              <w:t xml:space="preserve">Přednášející, cvičící</w:t>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4C">
            <w:pPr>
              <w:jc w:val="both"/>
              <w:rPr>
                <w:b w:val="1"/>
              </w:rPr>
            </w:pPr>
            <w:r w:rsidDel="00000000" w:rsidR="00000000" w:rsidRPr="00000000">
              <w:rPr>
                <w:b w:val="1"/>
                <w:rtl w:val="0"/>
              </w:rPr>
              <w:t xml:space="preserve">Vyučující</w:t>
            </w:r>
          </w:p>
        </w:tc>
        <w:tc>
          <w:tcPr>
            <w:gridSpan w:val="7"/>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D">
            <w:pPr>
              <w:jc w:val="both"/>
              <w:rPr/>
            </w:pPr>
            <w:r w:rsidDel="00000000" w:rsidR="00000000" w:rsidRPr="00000000">
              <w:rPr>
                <w:rtl w:val="0"/>
              </w:rPr>
            </w:r>
          </w:p>
        </w:tc>
      </w:tr>
      <w:tr>
        <w:trPr>
          <w:trHeight w:val="554" w:hRule="atLeast"/>
        </w:trPr>
        <w:tc>
          <w:tcPr>
            <w:gridSpan w:val="8"/>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4">
            <w:pPr>
              <w:jc w:val="both"/>
              <w:rPr/>
            </w:pPr>
            <w:r w:rsidDel="00000000" w:rsidR="00000000" w:rsidRPr="00000000">
              <w:rPr>
                <w:b w:val="1"/>
                <w:rtl w:val="0"/>
              </w:rPr>
              <w:t xml:space="preserve">Přednášky</w:t>
            </w:r>
            <w:r w:rsidDel="00000000" w:rsidR="00000000" w:rsidRPr="00000000">
              <w:rPr>
                <w:rtl w:val="0"/>
              </w:rPr>
              <w:t xml:space="preserve">: PhDr. Milan Ducháček, Ph.D.</w:t>
            </w:r>
          </w:p>
          <w:p w:rsidR="00000000" w:rsidDel="00000000" w:rsidP="00000000" w:rsidRDefault="00000000" w:rsidRPr="00000000" w14:paraId="00000055">
            <w:pPr>
              <w:jc w:val="both"/>
              <w:rPr>
                <w:b w:val="1"/>
              </w:rPr>
            </w:pPr>
            <w:r w:rsidDel="00000000" w:rsidR="00000000" w:rsidRPr="00000000">
              <w:rPr>
                <w:b w:val="1"/>
                <w:rtl w:val="0"/>
              </w:rPr>
              <w:t xml:space="preserve">Cvičení: </w:t>
            </w:r>
            <w:r w:rsidDel="00000000" w:rsidR="00000000" w:rsidRPr="00000000">
              <w:rPr>
                <w:rtl w:val="0"/>
              </w:rPr>
              <w:t xml:space="preserve">PhDr. Milan Ducháček, Ph.D.</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5D">
            <w:pPr>
              <w:jc w:val="both"/>
              <w:rPr>
                <w:b w:val="1"/>
              </w:rPr>
            </w:pPr>
            <w:r w:rsidDel="00000000" w:rsidR="00000000" w:rsidRPr="00000000">
              <w:rPr>
                <w:b w:val="1"/>
                <w:rtl w:val="0"/>
              </w:rPr>
              <w:t xml:space="preserve">Stručná anotace předmětu</w:t>
            </w:r>
          </w:p>
        </w:tc>
        <w:tc>
          <w:tcPr>
            <w:gridSpan w:val="7"/>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E">
            <w:pPr>
              <w:jc w:val="both"/>
              <w:rPr/>
            </w:pPr>
            <w:r w:rsidDel="00000000" w:rsidR="00000000" w:rsidRPr="00000000">
              <w:rPr>
                <w:rtl w:val="0"/>
              </w:rPr>
            </w:r>
          </w:p>
        </w:tc>
      </w:tr>
      <w:tr>
        <w:trPr>
          <w:trHeight w:val="1456" w:hRule="atLeast"/>
        </w:trPr>
        <w:tc>
          <w:tcPr>
            <w:gridSpan w:val="8"/>
            <w:tcBorders>
              <w:top w:color="000000" w:space="0" w:sz="0" w:val="nil"/>
              <w:left w:color="000000" w:space="0" w:sz="4" w:val="single"/>
              <w:bottom w:color="000000" w:space="0" w:sz="12" w:val="single"/>
              <w:right w:color="000000" w:space="0" w:sz="4" w:val="single"/>
            </w:tcBorders>
          </w:tcPr>
          <w:p w:rsidR="00000000" w:rsidDel="00000000" w:rsidP="00000000" w:rsidRDefault="00000000" w:rsidRPr="00000000" w14:paraId="00000065">
            <w:pPr>
              <w:jc w:val="both"/>
              <w:rPr/>
            </w:pPr>
            <w:r w:rsidDel="00000000" w:rsidR="00000000" w:rsidRPr="00000000">
              <w:rPr>
                <w:rtl w:val="0"/>
              </w:rPr>
              <w:t xml:space="preserve">Kurz je věnován aktuálním historiografickým přístupům k proměnám chápání pojmu „národa“ v procesu modernizace. Konkrétně je zaměřen na proměnu konceptu česko-slovenské vzájemnosti a tzv. čechoslovakismu v 19. a 20. století (1814-1993), tedy v  období moderních/soudobých dějin. Studenti/tky se v kurzu seznámí jak s teoretickými, tak s praktickými aspekty zkoumání modernizujících se komunit v epoše nacionalismu a „věku extrémů“ v sociálních a historických oborech, a to zejména prostřednictvím rozboru aktuální kolektivní monografie k tématu.  </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b w:val="1"/>
              </w:rPr>
            </w:pPr>
            <w:r w:rsidDel="00000000" w:rsidR="00000000" w:rsidRPr="00000000">
              <w:rPr>
                <w:b w:val="1"/>
                <w:rtl w:val="0"/>
              </w:rPr>
              <w:t xml:space="preserve">Přednášky:</w:t>
            </w:r>
          </w:p>
          <w:p w:rsidR="00000000" w:rsidDel="00000000" w:rsidP="00000000" w:rsidRDefault="00000000" w:rsidRPr="00000000" w14:paraId="00000068">
            <w:pPr>
              <w:jc w:val="both"/>
              <w:rPr/>
            </w:pPr>
            <w:r w:rsidDel="00000000" w:rsidR="00000000" w:rsidRPr="00000000">
              <w:rPr>
                <w:rtl w:val="0"/>
              </w:rPr>
              <w:t xml:space="preserve">1) Jak se zrodil čechoslovakismus? Klikaté dějiny jednoho pojmu a jeho vnímání</w:t>
            </w:r>
          </w:p>
          <w:p w:rsidR="00000000" w:rsidDel="00000000" w:rsidP="00000000" w:rsidRDefault="00000000" w:rsidRPr="00000000" w14:paraId="00000069">
            <w:pPr>
              <w:jc w:val="both"/>
              <w:rPr/>
            </w:pPr>
            <w:r w:rsidDel="00000000" w:rsidR="00000000" w:rsidRPr="00000000">
              <w:rPr>
                <w:rtl w:val="0"/>
              </w:rPr>
              <w:t xml:space="preserve">2) Menšiny a čechoslovakismus (Židé v Rakousku-Uhersku a v ČSR: Naši nebo cizí?)</w:t>
            </w:r>
          </w:p>
          <w:p w:rsidR="00000000" w:rsidDel="00000000" w:rsidP="00000000" w:rsidRDefault="00000000" w:rsidRPr="00000000" w14:paraId="0000006A">
            <w:pPr>
              <w:jc w:val="both"/>
              <w:rPr/>
            </w:pPr>
            <w:r w:rsidDel="00000000" w:rsidR="00000000" w:rsidRPr="00000000">
              <w:rPr>
                <w:rtl w:val="0"/>
              </w:rPr>
              <w:t xml:space="preserve">3) Věda a Čechoslovakismus 20.-30. let: státotvorný koncept nebo floskule?</w:t>
            </w:r>
          </w:p>
          <w:p w:rsidR="00000000" w:rsidDel="00000000" w:rsidP="00000000" w:rsidRDefault="00000000" w:rsidRPr="00000000" w14:paraId="0000006B">
            <w:pPr>
              <w:jc w:val="both"/>
              <w:rPr/>
            </w:pPr>
            <w:r w:rsidDel="00000000" w:rsidR="00000000" w:rsidRPr="00000000">
              <w:rPr>
                <w:rtl w:val="0"/>
              </w:rPr>
              <w:t xml:space="preserve">4) Čechoslovakismus ve veřejném prostoru a v institucích (festivity a armáda)</w:t>
            </w:r>
          </w:p>
          <w:p w:rsidR="00000000" w:rsidDel="00000000" w:rsidP="00000000" w:rsidRDefault="00000000" w:rsidRPr="00000000" w14:paraId="0000006C">
            <w:pPr>
              <w:jc w:val="both"/>
              <w:rPr/>
            </w:pPr>
            <w:r w:rsidDel="00000000" w:rsidR="00000000" w:rsidRPr="00000000">
              <w:rPr>
                <w:rtl w:val="0"/>
              </w:rPr>
              <w:t xml:space="preserve">5) Čechoslovakismus a školství: učebnice jako disciplinační a identitotvorný prostředek</w:t>
            </w:r>
          </w:p>
          <w:p w:rsidR="00000000" w:rsidDel="00000000" w:rsidP="00000000" w:rsidRDefault="00000000" w:rsidRPr="00000000" w14:paraId="0000006D">
            <w:pPr>
              <w:jc w:val="both"/>
              <w:rPr/>
            </w:pPr>
            <w:r w:rsidDel="00000000" w:rsidR="00000000" w:rsidRPr="00000000">
              <w:rPr>
                <w:rtl w:val="0"/>
              </w:rPr>
              <w:t xml:space="preserve">6) Slováci v ČS(S)R 50.-60. let, paměť a stranická linie, cesta k federaci</w:t>
            </w:r>
          </w:p>
          <w:p w:rsidR="00000000" w:rsidDel="00000000" w:rsidP="00000000" w:rsidRDefault="00000000" w:rsidRPr="00000000" w14:paraId="0000006E">
            <w:pPr>
              <w:jc w:val="both"/>
              <w:rPr/>
            </w:pPr>
            <w:r w:rsidDel="00000000" w:rsidR="00000000" w:rsidRPr="00000000">
              <w:rPr>
                <w:rtl w:val="0"/>
              </w:rPr>
              <w:t xml:space="preserve">7) Rozpad, paměť, trauma? Čechoslovakismus 1989-1993,</w:t>
            </w:r>
          </w:p>
          <w:p w:rsidR="00000000" w:rsidDel="00000000" w:rsidP="00000000" w:rsidRDefault="00000000" w:rsidRPr="00000000" w14:paraId="0000006F">
            <w:pPr>
              <w:jc w:val="both"/>
              <w:rPr>
                <w:b w:val="1"/>
              </w:rPr>
            </w:pPr>
            <w:r w:rsidDel="00000000" w:rsidR="00000000" w:rsidRPr="00000000">
              <w:rPr>
                <w:rtl w:val="0"/>
              </w:rPr>
            </w:r>
          </w:p>
          <w:p w:rsidR="00000000" w:rsidDel="00000000" w:rsidP="00000000" w:rsidRDefault="00000000" w:rsidRPr="00000000" w14:paraId="00000070">
            <w:pPr>
              <w:jc w:val="both"/>
              <w:rPr>
                <w:b w:val="1"/>
              </w:rPr>
            </w:pPr>
            <w:r w:rsidDel="00000000" w:rsidR="00000000" w:rsidRPr="00000000">
              <w:rPr>
                <w:b w:val="1"/>
                <w:rtl w:val="0"/>
              </w:rPr>
              <w:t xml:space="preserve">Cvičení: </w:t>
            </w:r>
          </w:p>
          <w:p w:rsidR="00000000" w:rsidDel="00000000" w:rsidP="00000000" w:rsidRDefault="00000000" w:rsidRPr="00000000" w14:paraId="00000071">
            <w:pPr>
              <w:jc w:val="both"/>
              <w:rPr/>
            </w:pPr>
            <w:r w:rsidDel="00000000" w:rsidR="00000000" w:rsidRPr="00000000">
              <w:rPr>
                <w:rtl w:val="0"/>
              </w:rPr>
              <w:t xml:space="preserve">Cvičení jsou věnována interpretaci klíčových kapitol monografie Hudek – Kopeček – Mervart a kol. (2019) a dalších statí k tématu, seznámení s dobovými prameny a memoárovou literaturou a jejich interpretaci. Součástí cvičení je prezentace výsledků individuální četby a diskuse na dílčí témata.</w:t>
            </w:r>
          </w:p>
        </w:tc>
      </w:tr>
      <w:tr>
        <w:trPr>
          <w:trHeight w:val="265" w:hRule="atLeast"/>
        </w:trPr>
        <w:tc>
          <w:tcPr>
            <w:gridSpan w:val="2"/>
            <w:tcBorders>
              <w:top w:color="000000" w:space="0" w:sz="0" w:val="nil"/>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79">
            <w:pPr>
              <w:jc w:val="both"/>
              <w:rPr/>
            </w:pPr>
            <w:r w:rsidDel="00000000" w:rsidR="00000000" w:rsidRPr="00000000">
              <w:rPr>
                <w:b w:val="1"/>
                <w:rtl w:val="0"/>
              </w:rPr>
              <w:t xml:space="preserve">Studijní literatura a studijní pomůcky</w:t>
            </w:r>
            <w:r w:rsidDel="00000000" w:rsidR="00000000" w:rsidRPr="00000000">
              <w:rPr>
                <w:rtl w:val="0"/>
              </w:rPr>
            </w:r>
          </w:p>
        </w:tc>
        <w:tc>
          <w:tcPr>
            <w:gridSpan w:val="6"/>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B">
            <w:pPr>
              <w:jc w:val="both"/>
              <w:rPr/>
            </w:pPr>
            <w:r w:rsidDel="00000000" w:rsidR="00000000" w:rsidRPr="00000000">
              <w:rPr>
                <w:rtl w:val="0"/>
              </w:rPr>
            </w:r>
          </w:p>
        </w:tc>
      </w:tr>
      <w:tr>
        <w:trPr>
          <w:trHeight w:val="274"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jc w:val="both"/>
              <w:rPr>
                <w:b w:val="1"/>
              </w:rPr>
            </w:pPr>
            <w:r w:rsidDel="00000000" w:rsidR="00000000" w:rsidRPr="00000000">
              <w:rPr>
                <w:b w:val="1"/>
                <w:rtl w:val="0"/>
              </w:rPr>
              <w:t xml:space="preserve">Povinná literatura:</w:t>
            </w:r>
          </w:p>
          <w:p w:rsidR="00000000" w:rsidDel="00000000" w:rsidP="00000000" w:rsidRDefault="00000000" w:rsidRPr="00000000" w14:paraId="00000082">
            <w:pPr>
              <w:jc w:val="both"/>
              <w:rPr>
                <w:b w:val="1"/>
              </w:rPr>
            </w:pPr>
            <w:r w:rsidDel="00000000" w:rsidR="00000000" w:rsidRPr="00000000">
              <w:rPr>
                <w:b w:val="1"/>
                <w:rtl w:val="0"/>
              </w:rPr>
              <w:t xml:space="preserve">Monografie:</w:t>
            </w:r>
          </w:p>
          <w:p w:rsidR="00000000" w:rsidDel="00000000" w:rsidP="00000000" w:rsidRDefault="00000000" w:rsidRPr="00000000" w14:paraId="00000083">
            <w:pPr>
              <w:rPr/>
            </w:pPr>
            <w:r w:rsidDel="00000000" w:rsidR="00000000" w:rsidRPr="00000000">
              <w:rPr>
                <w:smallCaps w:val="1"/>
                <w:color w:val="000000"/>
                <w:highlight w:val="white"/>
                <w:rtl w:val="0"/>
              </w:rPr>
              <w:t xml:space="preserve">HUDEK</w:t>
            </w:r>
            <w:r w:rsidDel="00000000" w:rsidR="00000000" w:rsidRPr="00000000">
              <w:rPr>
                <w:color w:val="000000"/>
                <w:highlight w:val="white"/>
                <w:rtl w:val="0"/>
              </w:rPr>
              <w:t xml:space="preserve"> Adam, </w:t>
            </w:r>
            <w:r w:rsidDel="00000000" w:rsidR="00000000" w:rsidRPr="00000000">
              <w:rPr>
                <w:smallCaps w:val="1"/>
                <w:color w:val="000000"/>
                <w:highlight w:val="white"/>
                <w:rtl w:val="0"/>
              </w:rPr>
              <w:t xml:space="preserve">KOPEČEK</w:t>
            </w:r>
            <w:r w:rsidDel="00000000" w:rsidR="00000000" w:rsidRPr="00000000">
              <w:rPr>
                <w:color w:val="000000"/>
                <w:highlight w:val="white"/>
                <w:rtl w:val="0"/>
              </w:rPr>
              <w:t xml:space="preserve"> Michal, </w:t>
            </w:r>
            <w:r w:rsidDel="00000000" w:rsidR="00000000" w:rsidRPr="00000000">
              <w:rPr>
                <w:smallCaps w:val="1"/>
                <w:color w:val="000000"/>
                <w:highlight w:val="white"/>
                <w:rtl w:val="0"/>
              </w:rPr>
              <w:t xml:space="preserve">MERVART </w:t>
            </w:r>
            <w:r w:rsidDel="00000000" w:rsidR="00000000" w:rsidRPr="00000000">
              <w:rPr>
                <w:color w:val="000000"/>
                <w:highlight w:val="white"/>
                <w:rtl w:val="0"/>
              </w:rPr>
              <w:t xml:space="preserve">Jan (eds.) a kol.: Čecho/slovakismus. NLN: Praha 2019. </w:t>
            </w:r>
            <w:r w:rsidDel="00000000" w:rsidR="00000000" w:rsidRPr="00000000">
              <w:rPr>
                <w:i w:val="0"/>
                <w:highlight w:val="white"/>
                <w:rtl w:val="0"/>
              </w:rPr>
              <w:t xml:space="preserve">ISBN</w:t>
            </w:r>
            <w:r w:rsidDel="00000000" w:rsidR="00000000" w:rsidRPr="00000000">
              <w:rPr>
                <w:highlight w:val="white"/>
                <w:rtl w:val="0"/>
              </w:rPr>
              <w:t xml:space="preserve"> 978-80-7422-679-3; </w:t>
            </w:r>
            <w:hyperlink r:id="rId6">
              <w:r w:rsidDel="00000000" w:rsidR="00000000" w:rsidRPr="00000000">
                <w:rPr>
                  <w:color w:val="000000"/>
                  <w:u w:val="single"/>
                  <w:rtl w:val="0"/>
                </w:rPr>
                <w:t xml:space="preserve">https://www.nln.cz/knihy/cechoslovakismus/</w:t>
              </w:r>
            </w:hyperlink>
            <w:r w:rsidDel="00000000" w:rsidR="00000000" w:rsidRPr="00000000">
              <w:rPr>
                <w:rtl w:val="0"/>
              </w:rPr>
            </w:r>
          </w:p>
          <w:p w:rsidR="00000000" w:rsidDel="00000000" w:rsidP="00000000" w:rsidRDefault="00000000" w:rsidRPr="00000000" w14:paraId="00000084">
            <w:pPr>
              <w:jc w:val="both"/>
              <w:rPr>
                <w:b w:val="1"/>
              </w:rPr>
            </w:pPr>
            <w:r w:rsidDel="00000000" w:rsidR="00000000" w:rsidRPr="00000000">
              <w:rPr>
                <w:b w:val="1"/>
                <w:rtl w:val="0"/>
              </w:rPr>
              <w:t xml:space="preserve">Články a kapitoly v kolektivních dílech:</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DUCHÁČEK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Milan:, Československý národ jako ideál a touha. In Historické fikce a mystifikace v české kultuře 19. století. Sborník příspěvků z 33. ročníku sympozia k problematice 19. století, Plzeň, 21.–23. února 2013 Martin Hrdina a Kateřina Piorecká (edd.), Praha: Academia 2014, s. 185–197. Online:</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https://www.academia.edu/37730089/%C4%8Ceskoslovensk%C3%BD_n%C3%A1rod_jako_ide%C3%A1l_a_jako_touha_The_Czechoslovak_nation_as_an_ideal_and_a_desire</w:t>
              </w:r>
            </w:hyperlink>
            <w:r w:rsidDel="00000000" w:rsidR="00000000" w:rsidRPr="00000000">
              <w:rPr>
                <w:rtl w:val="0"/>
              </w:rPr>
            </w:r>
          </w:p>
          <w:p w:rsidR="00000000" w:rsidDel="00000000" w:rsidP="00000000" w:rsidRDefault="00000000" w:rsidRPr="00000000" w14:paraId="00000087">
            <w:pPr>
              <w:jc w:val="both"/>
              <w:rPr>
                <w:smallCaps w:val="1"/>
              </w:rPr>
            </w:pPr>
            <w:r w:rsidDel="00000000" w:rsidR="00000000" w:rsidRPr="00000000">
              <w:rPr>
                <w:rtl w:val="0"/>
              </w:rPr>
              <w:t xml:space="preserve">GALANDAUER, Jan: Čechoslovakismus v proměnách času. Od národotvorné tendence k integrační ideologii, Historie a vojenství 47, 1998, č. 2, s. 33–52.</w:t>
            </w:r>
            <w:r w:rsidDel="00000000" w:rsidR="00000000" w:rsidRPr="00000000">
              <w:rPr>
                <w:rtl w:val="0"/>
              </w:rPr>
            </w:r>
          </w:p>
          <w:p w:rsidR="00000000" w:rsidDel="00000000" w:rsidP="00000000" w:rsidRDefault="00000000" w:rsidRPr="00000000" w14:paraId="00000088">
            <w:pPr>
              <w:rPr>
                <w:smallCaps w:val="1"/>
              </w:rPr>
            </w:pPr>
            <w:bookmarkStart w:colFirst="0" w:colLast="0" w:name="_gjdgxs" w:id="0"/>
            <w:bookmarkEnd w:id="0"/>
            <w:r w:rsidDel="00000000" w:rsidR="00000000" w:rsidRPr="00000000">
              <w:rPr>
                <w:smallCaps w:val="1"/>
                <w:rtl w:val="0"/>
              </w:rPr>
              <w:t xml:space="preserve">MANNOVÁ</w:t>
            </w:r>
            <w:r w:rsidDel="00000000" w:rsidR="00000000" w:rsidRPr="00000000">
              <w:rPr>
                <w:rtl w:val="0"/>
              </w:rPr>
              <w:t xml:space="preserve">, Elena: Uhorská a_československá štátna idea: zmena povedomia v_slovenskej spoločnosti. In Mommsen Hans – Kováč Dušan _– Malíř Jiří _– Marková Michaela (eds.), První světová válka a_vztahy mezi Čechy, Slováky a_Němci, Brno 2000, s. 87–96.</w:t>
            </w:r>
            <w:r w:rsidDel="00000000" w:rsidR="00000000" w:rsidRPr="00000000">
              <w:rPr>
                <w:rtl w:val="0"/>
              </w:rPr>
            </w:r>
          </w:p>
          <w:p w:rsidR="00000000" w:rsidDel="00000000" w:rsidP="00000000" w:rsidRDefault="00000000" w:rsidRPr="00000000" w14:paraId="00000089">
            <w:pPr>
              <w:rPr/>
            </w:pPr>
            <w:r w:rsidDel="00000000" w:rsidR="00000000" w:rsidRPr="00000000">
              <w:rPr>
                <w:smallCaps w:val="1"/>
                <w:rtl w:val="0"/>
              </w:rPr>
              <w:t xml:space="preserve">PICHLER</w:t>
            </w:r>
            <w:r w:rsidDel="00000000" w:rsidR="00000000" w:rsidRPr="00000000">
              <w:rPr>
                <w:rtl w:val="0"/>
              </w:rPr>
              <w:t xml:space="preserve">, Tibor, Eötvös, Grünwald, Mudroň a štátna idea Uhorska. In Týž, Etnos a polis. Ze slovenského a uhorského politického myslenia. Bratislava: Kaligram 2011, s. 48–60.</w:t>
            </w:r>
          </w:p>
          <w:p w:rsidR="00000000" w:rsidDel="00000000" w:rsidP="00000000" w:rsidRDefault="00000000" w:rsidRPr="00000000" w14:paraId="0000008A">
            <w:pPr>
              <w:rPr>
                <w:b w:val="1"/>
                <w:smallCaps w:val="1"/>
                <w:color w:val="2f5496"/>
              </w:rPr>
            </w:pPr>
            <w:r w:rsidDel="00000000" w:rsidR="00000000" w:rsidRPr="00000000">
              <w:rPr>
                <w:highlight w:val="white"/>
                <w:rtl w:val="0"/>
              </w:rPr>
              <w:t xml:space="preserve">RYCHLÍK, Jan: Idea čechoslovakismu versus dotváření svébytného slovenského politického národa v první Československé republice. Studia Historica Nitriensia 21, 2/2017, s. 431-440. Online: </w:t>
            </w:r>
            <w:hyperlink r:id="rId8">
              <w:r w:rsidDel="00000000" w:rsidR="00000000" w:rsidRPr="00000000">
                <w:rPr>
                  <w:color w:val="2f5496"/>
                  <w:u w:val="single"/>
                  <w:rtl w:val="0"/>
                </w:rPr>
                <w:t xml:space="preserve">http://www.shnnitra.ff.ukf.sk/wp-content/uploads/Rychlik.pdf</w:t>
              </w:r>
            </w:hyperlink>
            <w:r w:rsidDel="00000000" w:rsidR="00000000" w:rsidRPr="00000000">
              <w:rPr>
                <w:rtl w:val="0"/>
              </w:rPr>
            </w:r>
          </w:p>
          <w:p w:rsidR="00000000" w:rsidDel="00000000" w:rsidP="00000000" w:rsidRDefault="00000000" w:rsidRPr="00000000" w14:paraId="0000008B">
            <w:pPr>
              <w:rPr/>
            </w:pPr>
            <w:r w:rsidDel="00000000" w:rsidR="00000000" w:rsidRPr="00000000">
              <w:rPr>
                <w:smallCaps w:val="1"/>
                <w:rtl w:val="0"/>
              </w:rPr>
              <w:t xml:space="preserve">TUČEK, </w:t>
            </w:r>
            <w:r w:rsidDel="00000000" w:rsidR="00000000" w:rsidRPr="00000000">
              <w:rPr>
                <w:rtl w:val="0"/>
              </w:rPr>
              <w:t xml:space="preserve">Jan: Paměť, in: </w:t>
            </w:r>
            <w:r w:rsidDel="00000000" w:rsidR="00000000" w:rsidRPr="00000000">
              <w:rPr>
                <w:smallCaps w:val="1"/>
                <w:rtl w:val="0"/>
              </w:rPr>
              <w:t xml:space="preserve">STORCHOVÁ,</w:t>
            </w:r>
            <w:r w:rsidDel="00000000" w:rsidR="00000000" w:rsidRPr="00000000">
              <w:rPr>
                <w:rtl w:val="0"/>
              </w:rPr>
              <w:t xml:space="preserve"> Lucie a kol.: Koncepty a dějiny. Proměny pojmů v současné historické vědě, Dolní Břežany, Scriptorium 2014, s. 244–257, ISBN </w:t>
            </w:r>
            <w:r w:rsidDel="00000000" w:rsidR="00000000" w:rsidRPr="00000000">
              <w:rPr>
                <w:highlight w:val="white"/>
                <w:rtl w:val="0"/>
              </w:rPr>
              <w:t xml:space="preserve">978-80-87271-87-2</w:t>
            </w: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smallCaps w:val="1"/>
                <w:rtl w:val="0"/>
              </w:rPr>
              <w:t xml:space="preserve">VÖRÖS</w:t>
            </w:r>
            <w:r w:rsidDel="00000000" w:rsidR="00000000" w:rsidRPr="00000000">
              <w:rPr>
                <w:rtl w:val="0"/>
              </w:rPr>
              <w:t xml:space="preserve">, Lázsló: Najvlasteneckejší Uhri alebo „slobodný národ?“ Sociálne reprezentácie Slovákov v maďarskej tlači v rokoch 1914–1918. In Týž, Analytická historiografia versus národné dejiny. „Národ“ jako sociálna reprezentácia, Pisa: Editione Plus 2010, s. 125–154.</w:t>
            </w:r>
          </w:p>
          <w:p w:rsidR="00000000" w:rsidDel="00000000" w:rsidP="00000000" w:rsidRDefault="00000000" w:rsidRPr="00000000" w14:paraId="0000008D">
            <w:pPr>
              <w:rPr/>
            </w:pPr>
            <w:r w:rsidDel="00000000" w:rsidR="00000000" w:rsidRPr="00000000">
              <w:rPr>
                <w:smallCaps w:val="1"/>
                <w:rtl w:val="0"/>
              </w:rPr>
              <w:t xml:space="preserve">VÖRÖS</w:t>
            </w:r>
            <w:r w:rsidDel="00000000" w:rsidR="00000000" w:rsidRPr="00000000">
              <w:rPr>
                <w:rtl w:val="0"/>
              </w:rPr>
              <w:t xml:space="preserve">, László: Ako existujú sociálne entity? Metodologické poznámky k_žánru národných dejín (19. a_20. storočie), In: Sondy do_slovenských dejín v_dlhom 19. storočí, Dušan Kováč a_kol. (eds.), Bratislava 2013, s. 12–29. Dostupné online: </w:t>
            </w:r>
            <w:hyperlink r:id="rId9">
              <w:r w:rsidDel="00000000" w:rsidR="00000000" w:rsidRPr="00000000">
                <w:rPr>
                  <w:color w:val="0000ff"/>
                  <w:u w:val="single"/>
                  <w:rtl w:val="0"/>
                </w:rPr>
                <w:t xml:space="preserve">http://forumhistoriae.sk/documents/10180/887951/Kovac_Sondy-2013.pdf</w:t>
              </w:r>
            </w:hyperlink>
            <w:r w:rsidDel="00000000" w:rsidR="00000000" w:rsidRPr="00000000">
              <w:rPr>
                <w:rtl w:val="0"/>
              </w:rPr>
            </w:r>
          </w:p>
          <w:p w:rsidR="00000000" w:rsidDel="00000000" w:rsidP="00000000" w:rsidRDefault="00000000" w:rsidRPr="00000000" w14:paraId="0000008E">
            <w:pPr>
              <w:jc w:val="both"/>
              <w:rPr>
                <w:b w:val="1"/>
              </w:rPr>
            </w:pPr>
            <w:r w:rsidDel="00000000" w:rsidR="00000000" w:rsidRPr="00000000">
              <w:rPr>
                <w:rtl w:val="0"/>
              </w:rPr>
            </w:r>
          </w:p>
          <w:p w:rsidR="00000000" w:rsidDel="00000000" w:rsidP="00000000" w:rsidRDefault="00000000" w:rsidRPr="00000000" w14:paraId="0000008F">
            <w:pPr>
              <w:jc w:val="both"/>
              <w:rPr>
                <w:b w:val="1"/>
              </w:rPr>
            </w:pPr>
            <w:r w:rsidDel="00000000" w:rsidR="00000000" w:rsidRPr="00000000">
              <w:rPr>
                <w:b w:val="1"/>
                <w:rtl w:val="0"/>
              </w:rPr>
              <w:t xml:space="preserve">Doporučená literatura:</w:t>
            </w:r>
          </w:p>
          <w:p w:rsidR="00000000" w:rsidDel="00000000" w:rsidP="00000000" w:rsidRDefault="00000000" w:rsidRPr="00000000" w14:paraId="00000090">
            <w:pPr>
              <w:rPr/>
            </w:pPr>
            <w:r w:rsidDel="00000000" w:rsidR="00000000" w:rsidRPr="00000000">
              <w:rPr>
                <w:smallCaps w:val="1"/>
                <w:rtl w:val="0"/>
              </w:rPr>
              <w:t xml:space="preserve">BAKKE</w:t>
            </w:r>
            <w:r w:rsidDel="00000000" w:rsidR="00000000" w:rsidRPr="00000000">
              <w:rPr>
                <w:rtl w:val="0"/>
              </w:rPr>
              <w:t xml:space="preserve">, Elisabeth: Doomed to failure? The Czechoslovak nation project and the Slovak autonomist reaction 1919–1938 (Series of dissertations submitted to the Department of Political Science, Faculty of Social Sciences, University of Oslo, No. 11/99); [online], dostupné z: http://folk.uio.no/stveb1/Doomed_to_failure_links.html.</w:t>
            </w:r>
          </w:p>
          <w:p w:rsidR="00000000" w:rsidDel="00000000" w:rsidP="00000000" w:rsidRDefault="00000000" w:rsidRPr="00000000" w14:paraId="00000091">
            <w:pPr>
              <w:rPr>
                <w:b w:val="1"/>
              </w:rPr>
            </w:pPr>
            <w:r w:rsidDel="00000000" w:rsidR="00000000" w:rsidRPr="00000000">
              <w:rPr>
                <w:smallCaps w:val="1"/>
                <w:rtl w:val="0"/>
              </w:rPr>
              <w:t xml:space="preserve">BAKKE</w:t>
            </w:r>
            <w:r w:rsidDel="00000000" w:rsidR="00000000" w:rsidRPr="00000000">
              <w:rPr>
                <w:rtl w:val="0"/>
              </w:rPr>
              <w:t xml:space="preserve">, Elisabeth: The Making of Czechoslovakism in the First Czechoslovak Republic. In Martin Schulze Wessel (ed.), Loyalitäten in der Tschechoslowakischen Republik 1918–1938. Politische, nationale und kulturelle Zugehörigkeiten, München 2004 (Veröffentlichungen des Collegium Carolinum. 101), s. 23–44.</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BENDER, Barbara – WINER, Margot: Contested Landscapes: Movement, Exile and Place, Berg, Oxford – New York 2001, ISBN 9781859734629 / 9780585436081</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BONNELL, Victoria E. – HUNT, Lynn (edd.): Beyond the Cultural Turn. New Directions in the Study of Society and Culture, Berkeley – Los Angeles – London, University of California Press 1999, ISBN 98-33118.</w:t>
            </w:r>
            <w:r w:rsidDel="00000000" w:rsidR="00000000" w:rsidRPr="00000000">
              <w:rPr>
                <w:rtl w:val="0"/>
              </w:rPr>
            </w:r>
          </w:p>
          <w:p w:rsidR="00000000" w:rsidDel="00000000" w:rsidP="00000000" w:rsidRDefault="00000000" w:rsidRPr="00000000" w14:paraId="00000094">
            <w:pPr>
              <w:rPr>
                <w:b w:val="1"/>
                <w:smallCaps w:val="1"/>
              </w:rPr>
            </w:pPr>
            <w:r w:rsidDel="00000000" w:rsidR="00000000" w:rsidRPr="00000000">
              <w:rPr>
                <w:smallCaps w:val="1"/>
                <w:rtl w:val="0"/>
              </w:rPr>
              <w:t xml:space="preserve">BRUBAKER</w:t>
            </w:r>
            <w:r w:rsidDel="00000000" w:rsidR="00000000" w:rsidRPr="00000000">
              <w:rPr>
                <w:rtl w:val="0"/>
              </w:rPr>
              <w:t xml:space="preserve">, Rogers: Etnicita jako kognice. In Jakoubek, Marek (ed.), Teorie etnicity. Čítanka textů, Praha: SLON 2016, s. 453–496.</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BRUBAKER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Rogers: Rethinking Nationhood: Nation as Institutionalized Form, Practical Category, Contingent Event. Contention 4, 1994, s. 3–14. Dostupné online: </w:t>
            </w:r>
            <w:hyperlink r:id="rId10">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http://www.sscnet.ucla.edu/soc/faculty/brubaker/</w:t>
              </w:r>
            </w:hyperlink>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t xml:space="preserve">Csáky, Moritz _– Mannová, Elena (eds.), Kolektívne identity v_strednej Európe v_období moderny, Bratislava 1999.</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FRANKL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Michal –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SZABÓ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Miloslav. Budování státu bez antisemitismu? Násilí, diskurz loajality a vznik Československa. Praha: NLN 2015.</w:t>
            </w:r>
            <w:r w:rsidDel="00000000" w:rsidR="00000000" w:rsidRPr="00000000">
              <w:rPr>
                <w:rtl w:val="0"/>
              </w:rPr>
            </w:r>
          </w:p>
          <w:p w:rsidR="00000000" w:rsidDel="00000000" w:rsidP="00000000" w:rsidRDefault="00000000" w:rsidRPr="00000000" w14:paraId="00000098">
            <w:pPr>
              <w:rPr/>
            </w:pPr>
            <w:r w:rsidDel="00000000" w:rsidR="00000000" w:rsidRPr="00000000">
              <w:rPr>
                <w:smallCaps w:val="1"/>
                <w:rtl w:val="0"/>
              </w:rPr>
              <w:t xml:space="preserve">HROCH</w:t>
            </w:r>
            <w:r w:rsidDel="00000000" w:rsidR="00000000" w:rsidRPr="00000000">
              <w:rPr>
                <w:rtl w:val="0"/>
              </w:rPr>
              <w:t xml:space="preserve">, Miroslav (ed.): Pohledy na národ a nacionalismus. Čítanka textů. Praha: Slon 2003.</w:t>
            </w:r>
          </w:p>
          <w:p w:rsidR="00000000" w:rsidDel="00000000" w:rsidP="00000000" w:rsidRDefault="00000000" w:rsidRPr="00000000" w14:paraId="00000099">
            <w:pPr>
              <w:rPr>
                <w:b w:val="1"/>
              </w:rPr>
            </w:pPr>
            <w:r w:rsidDel="00000000" w:rsidR="00000000" w:rsidRPr="00000000">
              <w:rPr>
                <w:smallCaps w:val="1"/>
                <w:rtl w:val="0"/>
              </w:rPr>
              <w:t xml:space="preserve">HROCH</w:t>
            </w:r>
            <w:r w:rsidDel="00000000" w:rsidR="00000000" w:rsidRPr="00000000">
              <w:rPr>
                <w:rtl w:val="0"/>
              </w:rPr>
              <w:t xml:space="preserve">, Miroslav: Národy nejsou dílem náhody. Praha: SLON 2009.</w:t>
            </w:r>
            <w:r w:rsidDel="00000000" w:rsidR="00000000" w:rsidRPr="00000000">
              <w:rPr>
                <w:rtl w:val="0"/>
              </w:rPr>
            </w:r>
          </w:p>
          <w:p w:rsidR="00000000" w:rsidDel="00000000" w:rsidP="00000000" w:rsidRDefault="00000000" w:rsidRPr="00000000" w14:paraId="0000009A">
            <w:pPr>
              <w:rPr/>
            </w:pPr>
            <w:r w:rsidDel="00000000" w:rsidR="00000000" w:rsidRPr="00000000">
              <w:rPr>
                <w:smallCaps w:val="1"/>
                <w:rtl w:val="0"/>
              </w:rPr>
              <w:t xml:space="preserve">LOZOVIUK</w:t>
            </w:r>
            <w:r w:rsidDel="00000000" w:rsidR="00000000" w:rsidRPr="00000000">
              <w:rPr>
                <w:rtl w:val="0"/>
              </w:rPr>
              <w:t xml:space="preserve">, Petr (ed.), Etnicita a nacionalismus v diskurzu 20. století. Příspěvek intelektuálů z českých zemí ke studiu kolektivních identit, Brno: CDK 2012</w:t>
            </w:r>
          </w:p>
          <w:p w:rsidR="00000000" w:rsidDel="00000000" w:rsidP="00000000" w:rsidRDefault="00000000" w:rsidRPr="00000000" w14:paraId="0000009B">
            <w:pPr>
              <w:rPr/>
            </w:pPr>
            <w:r w:rsidDel="00000000" w:rsidR="00000000" w:rsidRPr="00000000">
              <w:rPr>
                <w:smallCaps w:val="1"/>
                <w:rtl w:val="0"/>
              </w:rPr>
              <w:t xml:space="preserve">HOJDA, </w:t>
            </w:r>
            <w:r w:rsidDel="00000000" w:rsidR="00000000" w:rsidRPr="00000000">
              <w:rPr>
                <w:rtl w:val="0"/>
              </w:rPr>
              <w:t xml:space="preserve">Zdeněk, POKORNÝ, Jiří: Pomníky a zapomníky. Praha, Paseka 1997, 2. vyd., s. 9–20, ISBN </w:t>
            </w:r>
            <w:r w:rsidDel="00000000" w:rsidR="00000000" w:rsidRPr="00000000">
              <w:rPr>
                <w:highlight w:val="white"/>
                <w:rtl w:val="0"/>
              </w:rPr>
              <w:t xml:space="preserve">80-7185-050-0.</w:t>
            </w:r>
            <w:r w:rsidDel="00000000" w:rsidR="00000000" w:rsidRPr="00000000">
              <w:rPr>
                <w:rtl w:val="0"/>
              </w:rPr>
            </w:r>
          </w:p>
          <w:p w:rsidR="00000000" w:rsidDel="00000000" w:rsidP="00000000" w:rsidRDefault="00000000" w:rsidRPr="00000000" w14:paraId="0000009C">
            <w:pPr>
              <w:jc w:val="both"/>
              <w:rPr/>
            </w:pPr>
            <w:r w:rsidDel="00000000" w:rsidR="00000000" w:rsidRPr="00000000">
              <w:rPr>
                <w:smallCaps w:val="1"/>
                <w:rtl w:val="0"/>
              </w:rPr>
              <w:t xml:space="preserve">HALÁSZ</w:t>
            </w:r>
            <w:r w:rsidDel="00000000" w:rsidR="00000000" w:rsidRPr="00000000">
              <w:rPr>
                <w:rtl w:val="0"/>
              </w:rPr>
              <w:t xml:space="preserve">, Iván. Tzv. lojálni Slováci v dualistickom Uhorsku („dobrí Slováci“, úradní Tóti“, uhorskí vlastenci, maďaróni a tí druhí...). In ŠUTAJ, Štefan – SZARKA, László (Eds.). Regionálna a národná identita v maďarskej a slovenskej histórii 18. a 20. storočia, 2007, Prešov : Universum, s. 91–103. Dostupné online: </w:t>
            </w:r>
            <w:hyperlink r:id="rId11">
              <w:r w:rsidDel="00000000" w:rsidR="00000000" w:rsidRPr="00000000">
                <w:rPr>
                  <w:color w:val="0000ff"/>
                  <w:u w:val="single"/>
                  <w:rtl w:val="0"/>
                </w:rPr>
                <w:t xml:space="preserve">http://www.svusav.sk/data/uploads/publikacie/regionalna_identita_2007.pdf</w:t>
              </w:r>
            </w:hyperlink>
            <w:r w:rsidDel="00000000" w:rsidR="00000000" w:rsidRPr="00000000">
              <w:rPr>
                <w:rtl w:val="0"/>
              </w:rPr>
            </w:r>
          </w:p>
          <w:p w:rsidR="00000000" w:rsidDel="00000000" w:rsidP="00000000" w:rsidRDefault="00000000" w:rsidRPr="00000000" w14:paraId="0000009D">
            <w:pPr>
              <w:jc w:val="both"/>
              <w:rPr/>
            </w:pPr>
            <w:r w:rsidDel="00000000" w:rsidR="00000000" w:rsidRPr="00000000">
              <w:rPr>
                <w:smallCaps w:val="1"/>
                <w:rtl w:val="0"/>
              </w:rPr>
              <w:t xml:space="preserve"> HÉDLOVÁ,  </w:t>
            </w:r>
            <w:r w:rsidDel="00000000" w:rsidR="00000000" w:rsidRPr="00000000">
              <w:rPr>
                <w:rtl w:val="0"/>
              </w:rPr>
              <w:t xml:space="preserve">Luba –</w:t>
            </w:r>
            <w:r w:rsidDel="00000000" w:rsidR="00000000" w:rsidRPr="00000000">
              <w:rPr>
                <w:smallCaps w:val="1"/>
                <w:rtl w:val="0"/>
              </w:rPr>
              <w:t xml:space="preserve"> ŠUSTROVÁ, </w:t>
            </w:r>
            <w:r w:rsidDel="00000000" w:rsidR="00000000" w:rsidRPr="00000000">
              <w:rPr>
                <w:rtl w:val="0"/>
              </w:rPr>
              <w:t xml:space="preserve">Radka (edd</w:t>
            </w:r>
            <w:r w:rsidDel="00000000" w:rsidR="00000000" w:rsidRPr="00000000">
              <w:rPr>
                <w:smallCaps w:val="1"/>
                <w:rtl w:val="0"/>
              </w:rPr>
              <w:t xml:space="preserve">.): </w:t>
            </w:r>
            <w:r w:rsidDel="00000000" w:rsidR="00000000" w:rsidRPr="00000000">
              <w:rPr>
                <w:rtl w:val="0"/>
              </w:rPr>
              <w:t xml:space="preserve">Česká paměť. Národ, dějiny a místa paměti. Praha, Academia 2015, ISBN</w:t>
            </w:r>
            <w:r w:rsidDel="00000000" w:rsidR="00000000" w:rsidRPr="00000000">
              <w:rPr>
                <w:smallCaps w:val="1"/>
                <w:rtl w:val="0"/>
              </w:rPr>
              <w:t xml:space="preserve"> </w:t>
            </w:r>
            <w:r w:rsidDel="00000000" w:rsidR="00000000" w:rsidRPr="00000000">
              <w:rPr>
                <w:rtl w:val="0"/>
              </w:rPr>
              <w:t xml:space="preserve">978-80-200-2411-4</w:t>
            </w:r>
          </w:p>
          <w:p w:rsidR="00000000" w:rsidDel="00000000" w:rsidP="00000000" w:rsidRDefault="00000000" w:rsidRPr="00000000" w14:paraId="0000009E">
            <w:pPr>
              <w:jc w:val="both"/>
              <w:rPr/>
            </w:pPr>
            <w:r w:rsidDel="00000000" w:rsidR="00000000" w:rsidRPr="00000000">
              <w:rPr>
                <w:rtl w:val="0"/>
              </w:rPr>
              <w:t xml:space="preserve">MALÝ, Ivan: Učebnice dějepisu jako nástroj ideologického boje, in: Bohumil Jiroušek (ed.), Proměny diskursu české marxistické historiografie, České Budějovice 2008, s. 301–318.</w:t>
            </w:r>
          </w:p>
          <w:p w:rsidR="00000000" w:rsidDel="00000000" w:rsidP="00000000" w:rsidRDefault="00000000" w:rsidRPr="00000000" w14:paraId="0000009F">
            <w:pPr>
              <w:rPr/>
            </w:pPr>
            <w:r w:rsidDel="00000000" w:rsidR="00000000" w:rsidRPr="00000000">
              <w:rPr>
                <w:smallCaps w:val="1"/>
                <w:rtl w:val="0"/>
              </w:rPr>
              <w:t xml:space="preserve">MAXWELL</w:t>
            </w:r>
            <w:r w:rsidDel="00000000" w:rsidR="00000000" w:rsidRPr="00000000">
              <w:rPr>
                <w:rtl w:val="0"/>
              </w:rPr>
              <w:t xml:space="preserve">, Alexander: Choosing Slovakia. Slavic Hungary, The Czechoslovak Language</w:t>
            </w:r>
          </w:p>
          <w:p w:rsidR="00000000" w:rsidDel="00000000" w:rsidP="00000000" w:rsidRDefault="00000000" w:rsidRPr="00000000" w14:paraId="000000A0">
            <w:pPr>
              <w:rPr/>
            </w:pPr>
            <w:r w:rsidDel="00000000" w:rsidR="00000000" w:rsidRPr="00000000">
              <w:rPr>
                <w:rtl w:val="0"/>
              </w:rPr>
              <w:t xml:space="preserve">and accidental Nationalism, London_– New York 2009</w:t>
            </w:r>
          </w:p>
          <w:p w:rsidR="00000000" w:rsidDel="00000000" w:rsidP="00000000" w:rsidRDefault="00000000" w:rsidRPr="00000000" w14:paraId="000000A1">
            <w:pPr>
              <w:rPr/>
            </w:pPr>
            <w:r w:rsidDel="00000000" w:rsidR="00000000" w:rsidRPr="00000000">
              <w:rPr>
                <w:smallCaps w:val="1"/>
                <w:rtl w:val="0"/>
              </w:rPr>
              <w:t xml:space="preserve">MICHELA</w:t>
            </w:r>
            <w:r w:rsidDel="00000000" w:rsidR="00000000" w:rsidRPr="00000000">
              <w:rPr>
                <w:rtl w:val="0"/>
              </w:rPr>
              <w:t xml:space="preserve">, Miroslav – </w:t>
            </w:r>
            <w:r w:rsidDel="00000000" w:rsidR="00000000" w:rsidRPr="00000000">
              <w:rPr>
                <w:smallCaps w:val="1"/>
                <w:rtl w:val="0"/>
              </w:rPr>
              <w:t xml:space="preserve">VÖRÖS</w:t>
            </w:r>
            <w:r w:rsidDel="00000000" w:rsidR="00000000" w:rsidRPr="00000000">
              <w:rPr>
                <w:rtl w:val="0"/>
              </w:rPr>
              <w:t xml:space="preserve">. László (eds.): Rozpad Uhorska a trianonská mierová zmluva. Bratislava: Historický ústav SAV 2013. Dostupné online: </w:t>
            </w:r>
            <w:hyperlink r:id="rId12">
              <w:r w:rsidDel="00000000" w:rsidR="00000000" w:rsidRPr="00000000">
                <w:rPr>
                  <w:color w:val="0000ff"/>
                  <w:u w:val="single"/>
                  <w:rtl w:val="0"/>
                </w:rPr>
                <w:t xml:space="preserve">http://forumhistoriae.sk/documents/10180/286159/RozpadUhorska.pdf</w:t>
              </w:r>
            </w:hyperlink>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NURMI, Ismo: Slovakia, a_playground for nationalism and national identity: manifestations</w:t>
            </w:r>
          </w:p>
          <w:p w:rsidR="00000000" w:rsidDel="00000000" w:rsidP="00000000" w:rsidRDefault="00000000" w:rsidRPr="00000000" w14:paraId="000000A3">
            <w:pPr>
              <w:rPr/>
            </w:pPr>
            <w:r w:rsidDel="00000000" w:rsidR="00000000" w:rsidRPr="00000000">
              <w:rPr>
                <w:rtl w:val="0"/>
              </w:rPr>
              <w:t xml:space="preserve">of the national identity of the Slovaks, 1918–1920, Helsinki 1999.</w:t>
            </w:r>
          </w:p>
          <w:p w:rsidR="00000000" w:rsidDel="00000000" w:rsidP="00000000" w:rsidRDefault="00000000" w:rsidRPr="00000000" w14:paraId="000000A4">
            <w:pPr>
              <w:rPr/>
            </w:pPr>
            <w:r w:rsidDel="00000000" w:rsidR="00000000" w:rsidRPr="00000000">
              <w:rPr>
                <w:smallCaps w:val="1"/>
                <w:rtl w:val="0"/>
              </w:rPr>
              <w:t xml:space="preserve">PEKNÍK</w:t>
            </w:r>
            <w:r w:rsidDel="00000000" w:rsidR="00000000" w:rsidRPr="00000000">
              <w:rPr>
                <w:rtl w:val="0"/>
              </w:rPr>
              <w:t xml:space="preserve">, Miroslav (ed.): Pohľady na_slovenskú politiku. Geopolitika – Slovenské národné rady – Čechoslovakizmus, Bratislava 2000.</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PICHLER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Tibor, Etnos a polis. Ze slovenského a uhorského politického myslenia. Bratislava: Kaligram 2011.</w:t>
            </w:r>
          </w:p>
          <w:p w:rsidR="00000000" w:rsidDel="00000000" w:rsidP="00000000" w:rsidRDefault="00000000" w:rsidRPr="00000000" w14:paraId="000000A6">
            <w:pPr>
              <w:jc w:val="both"/>
              <w:rPr/>
            </w:pPr>
            <w:r w:rsidDel="00000000" w:rsidR="00000000" w:rsidRPr="00000000">
              <w:rPr>
                <w:rtl w:val="0"/>
              </w:rPr>
              <w:t xml:space="preserve">RYCHLÍK, Jan: Teorie a praxe jednotného Československého národa a Československého jazyka v I. republice, in: Jaroslav Opat – Josef Tichý (edd.), Masarykova idea československé státnosti ve světle kritiky dějin, Praha 1993, s. 69–77.</w:t>
            </w:r>
          </w:p>
          <w:p w:rsidR="00000000" w:rsidDel="00000000" w:rsidP="00000000" w:rsidRDefault="00000000" w:rsidRPr="00000000" w14:paraId="000000A7">
            <w:pPr>
              <w:jc w:val="both"/>
              <w:rPr/>
            </w:pPr>
            <w:r w:rsidDel="00000000" w:rsidR="00000000" w:rsidRPr="00000000">
              <w:rPr>
                <w:rtl w:val="0"/>
              </w:rPr>
              <w:t xml:space="preserve">RYCHLÍK, Jan: České, slovenské a československé dějiny – problém vzájemného vztahu v různých historických dobách, in: Vladimír Goněc (ed.), Česko – slovenská historická ročenka, Brno 2000, s. 19–23.</w:t>
            </w:r>
          </w:p>
          <w:p w:rsidR="00000000" w:rsidDel="00000000" w:rsidP="00000000" w:rsidRDefault="00000000" w:rsidRPr="00000000" w14:paraId="000000A8">
            <w:pPr>
              <w:jc w:val="both"/>
              <w:rPr/>
            </w:pPr>
            <w:r w:rsidDel="00000000" w:rsidR="00000000" w:rsidRPr="00000000">
              <w:rPr>
                <w:rtl w:val="0"/>
              </w:rPr>
              <w:t xml:space="preserve">RYCHLÍK, Jan:  Čechoslovanství a čechoslovakismus, in: Walter Koschmal – Marek Nekula – Joachim Rogall (edd.), Češi a Němci. Dějiny – kultura – politika, Praha 2002, s. 64–74.</w:t>
            </w:r>
          </w:p>
          <w:p w:rsidR="00000000" w:rsidDel="00000000" w:rsidP="00000000" w:rsidRDefault="00000000" w:rsidRPr="00000000" w14:paraId="000000A9">
            <w:pPr>
              <w:rPr/>
            </w:pPr>
            <w:r w:rsidDel="00000000" w:rsidR="00000000" w:rsidRPr="00000000">
              <w:rPr>
                <w:smallCaps w:val="1"/>
                <w:color w:val="333333"/>
                <w:highlight w:val="white"/>
                <w:rtl w:val="0"/>
              </w:rPr>
              <w:t xml:space="preserve">ŘEZNÍK</w:t>
            </w:r>
            <w:r w:rsidDel="00000000" w:rsidR="00000000" w:rsidRPr="00000000">
              <w:rPr>
                <w:color w:val="333333"/>
                <w:highlight w:val="white"/>
                <w:rtl w:val="0"/>
              </w:rPr>
              <w:t xml:space="preserve">, Miloš: Formování moderního národa. (Evropské "dlouhé" 19. století), Praha: Triton, 2003. 183 s. (Dějiny do kapsy. 14.)</w:t>
            </w:r>
            <w:r w:rsidDel="00000000" w:rsidR="00000000" w:rsidRPr="00000000">
              <w:rPr>
                <w:rtl w:val="0"/>
              </w:rPr>
            </w:r>
          </w:p>
          <w:p w:rsidR="00000000" w:rsidDel="00000000" w:rsidP="00000000" w:rsidRDefault="00000000" w:rsidRPr="00000000" w14:paraId="000000AA">
            <w:pPr>
              <w:rPr/>
            </w:pPr>
            <w:r w:rsidDel="00000000" w:rsidR="00000000" w:rsidRPr="00000000">
              <w:rPr>
                <w:smallCaps w:val="1"/>
                <w:rtl w:val="0"/>
              </w:rPr>
              <w:t xml:space="preserve">STEHLÍK</w:t>
            </w:r>
            <w:r w:rsidDel="00000000" w:rsidR="00000000" w:rsidRPr="00000000">
              <w:rPr>
                <w:rtl w:val="0"/>
              </w:rPr>
              <w:t xml:space="preserve">, Michal: Češi a_Slováci 1882–1914. Nezřetelnost společné cesty, Praha: Togga 2009.</w:t>
            </w:r>
          </w:p>
          <w:p w:rsidR="00000000" w:rsidDel="00000000" w:rsidP="00000000" w:rsidRDefault="00000000" w:rsidRPr="00000000" w14:paraId="000000AB">
            <w:pPr>
              <w:rPr/>
            </w:pPr>
            <w:r w:rsidDel="00000000" w:rsidR="00000000" w:rsidRPr="00000000">
              <w:rPr>
                <w:smallCaps w:val="1"/>
                <w:rtl w:val="0"/>
              </w:rPr>
              <w:t xml:space="preserve">STEHLÍK</w:t>
            </w:r>
            <w:r w:rsidDel="00000000" w:rsidR="00000000" w:rsidRPr="00000000">
              <w:rPr>
                <w:rtl w:val="0"/>
              </w:rPr>
              <w:t xml:space="preserve">, Michal: </w:t>
            </w:r>
            <w:r w:rsidDel="00000000" w:rsidR="00000000" w:rsidRPr="00000000">
              <w:rPr>
                <w:color w:val="050505"/>
                <w:highlight w:val="white"/>
                <w:rtl w:val="0"/>
              </w:rPr>
              <w:t xml:space="preserve">Slovensko: Země probuzená, 1918‒1938, Praha: Academia </w:t>
            </w:r>
            <w:r w:rsidDel="00000000" w:rsidR="00000000" w:rsidRPr="00000000">
              <w:rPr>
                <w:color w:val="050505"/>
                <w:rtl w:val="0"/>
              </w:rPr>
              <w:br w:type="textWrapping"/>
            </w:r>
            <w:r w:rsidDel="00000000" w:rsidR="00000000" w:rsidRPr="00000000">
              <w:rPr>
                <w:color w:val="050505"/>
                <w:highlight w:val="white"/>
                <w:rtl w:val="0"/>
              </w:rPr>
              <w:t xml:space="preserve">2015.</w:t>
            </w:r>
            <w:r w:rsidDel="00000000" w:rsidR="00000000" w:rsidRPr="00000000">
              <w:rPr>
                <w:rtl w:val="0"/>
              </w:rPr>
            </w:r>
          </w:p>
          <w:p w:rsidR="00000000" w:rsidDel="00000000" w:rsidP="00000000" w:rsidRDefault="00000000" w:rsidRPr="00000000" w14:paraId="000000AC">
            <w:pPr>
              <w:rPr/>
            </w:pPr>
            <w:r w:rsidDel="00000000" w:rsidR="00000000" w:rsidRPr="00000000">
              <w:rPr>
                <w:smallCaps w:val="1"/>
                <w:rtl w:val="0"/>
              </w:rPr>
              <w:t xml:space="preserve">ŠUTAJ</w:t>
            </w:r>
            <w:r w:rsidDel="00000000" w:rsidR="00000000" w:rsidRPr="00000000">
              <w:rPr>
                <w:rtl w:val="0"/>
              </w:rPr>
              <w:t xml:space="preserve">, Štefan – </w:t>
            </w:r>
            <w:r w:rsidDel="00000000" w:rsidR="00000000" w:rsidRPr="00000000">
              <w:rPr>
                <w:smallCaps w:val="1"/>
                <w:rtl w:val="0"/>
              </w:rPr>
              <w:t xml:space="preserve">SZARKA</w:t>
            </w:r>
            <w:r w:rsidDel="00000000" w:rsidR="00000000" w:rsidRPr="00000000">
              <w:rPr>
                <w:rtl w:val="0"/>
              </w:rPr>
              <w:t xml:space="preserve">, László (eds.): Regionálna a národná identita v maďarskej a slovenskej histórii 18. a 20. storočia. Prešov: Universum 2007. Dostupné online: </w:t>
            </w:r>
            <w:hyperlink r:id="rId13">
              <w:r w:rsidDel="00000000" w:rsidR="00000000" w:rsidRPr="00000000">
                <w:rPr>
                  <w:color w:val="0000ff"/>
                  <w:u w:val="single"/>
                  <w:rtl w:val="0"/>
                </w:rPr>
                <w:t xml:space="preserve">http://www.svusav.sk/data/uploads/publikacie/regionalna_identita_2007.pdf</w:t>
              </w:r>
            </w:hyperlink>
            <w:r w:rsidDel="00000000" w:rsidR="00000000" w:rsidRPr="00000000">
              <w:rPr>
                <w:rtl w:val="0"/>
              </w:rPr>
            </w:r>
          </w:p>
          <w:p w:rsidR="00000000" w:rsidDel="00000000" w:rsidP="00000000" w:rsidRDefault="00000000" w:rsidRPr="00000000" w14:paraId="000000AD">
            <w:pPr>
              <w:rPr/>
            </w:pPr>
            <w:r w:rsidDel="00000000" w:rsidR="00000000" w:rsidRPr="00000000">
              <w:rPr>
                <w:smallCaps w:val="1"/>
                <w:rtl w:val="0"/>
              </w:rPr>
              <w:t xml:space="preserve">ŠVORC</w:t>
            </w:r>
            <w:r w:rsidDel="00000000" w:rsidR="00000000" w:rsidRPr="00000000">
              <w:rPr>
                <w:rtl w:val="0"/>
              </w:rPr>
              <w:t xml:space="preserve">, Peter: Základné determinanty národnouvedomovacieho procesu Slovákov, Rusínov a Ukrajincov na severovýchodnom Slovensku v rokoch 1918 – 1939. Dejiny. Internetový časopis Inštitútu histórie FF PU v Prešove. Prešov: Inštitút histórie FF PU v Prešove, 2006, roč. 1, č. 1, s. 21–28. Dostupné online: </w:t>
            </w:r>
            <w:hyperlink r:id="rId14">
              <w:r w:rsidDel="00000000" w:rsidR="00000000" w:rsidRPr="00000000">
                <w:rPr>
                  <w:color w:val="0000ff"/>
                  <w:u w:val="single"/>
                  <w:rtl w:val="0"/>
                </w:rPr>
                <w:t xml:space="preserve">http://dejiny.unipo.sk/PDF/Dejiny_1_2006.pdf</w:t>
              </w:r>
            </w:hyperlink>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THIESSOVÁ</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Anne-Marie: Vytváření národních identit v Evropě 18. až 20. století. Brno: CDK 2007.</w:t>
            </w:r>
            <w:r w:rsidDel="00000000" w:rsidR="00000000" w:rsidRPr="00000000">
              <w:rPr>
                <w:rtl w:val="0"/>
              </w:rPr>
            </w:r>
          </w:p>
          <w:p w:rsidR="00000000" w:rsidDel="00000000" w:rsidP="00000000" w:rsidRDefault="00000000" w:rsidRPr="00000000" w14:paraId="000000AF">
            <w:pPr>
              <w:rPr>
                <w:smallCaps w:val="1"/>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b w:val="1"/>
              </w:rPr>
            </w:pPr>
            <w:r w:rsidDel="00000000" w:rsidR="00000000" w:rsidRPr="00000000">
              <w:rPr>
                <w:b w:val="1"/>
                <w:rtl w:val="0"/>
              </w:rPr>
              <w:t xml:space="preserve">Studijní pomůcky a elektronické zdroje:</w:t>
            </w:r>
          </w:p>
          <w:p w:rsidR="00000000" w:rsidDel="00000000" w:rsidP="00000000" w:rsidRDefault="00000000" w:rsidRPr="00000000" w14:paraId="000000B2">
            <w:pPr>
              <w:pStyle w:val="Heading2"/>
              <w:shd w:fill="ffffff" w:val="clear"/>
              <w:spacing w:after="150" w:before="300" w:lineRule="auto"/>
              <w:rPr>
                <w:rFonts w:ascii="Times New Roman" w:cs="Times New Roman" w:eastAsia="Times New Roman" w:hAnsi="Times New Roman"/>
                <w:b w:val="1"/>
                <w:color w:val="404040"/>
                <w:sz w:val="20"/>
                <w:szCs w:val="20"/>
              </w:rPr>
            </w:pPr>
            <w:r w:rsidDel="00000000" w:rsidR="00000000" w:rsidRPr="00000000">
              <w:rPr>
                <w:rFonts w:ascii="Times New Roman" w:cs="Times New Roman" w:eastAsia="Times New Roman" w:hAnsi="Times New Roman"/>
                <w:color w:val="000000"/>
                <w:sz w:val="20"/>
                <w:szCs w:val="20"/>
                <w:rtl w:val="0"/>
              </w:rPr>
              <w:t xml:space="preserve">Bibliografie české a slovenské historiografie. Souborný katalog</w:t>
            </w:r>
            <w:r w:rsidDel="00000000" w:rsidR="00000000" w:rsidRPr="00000000">
              <w:rPr>
                <w:rFonts w:ascii="Times New Roman" w:cs="Times New Roman" w:eastAsia="Times New Roman" w:hAnsi="Times New Roman"/>
                <w:b w:val="1"/>
                <w:color w:val="404040"/>
                <w:sz w:val="20"/>
                <w:szCs w:val="20"/>
                <w:rtl w:val="0"/>
              </w:rPr>
              <w:t xml:space="preserve">: </w:t>
            </w:r>
            <w:hyperlink r:id="rId15">
              <w:r w:rsidDel="00000000" w:rsidR="00000000" w:rsidRPr="00000000">
                <w:rPr>
                  <w:rFonts w:ascii="Times New Roman" w:cs="Times New Roman" w:eastAsia="Times New Roman" w:hAnsi="Times New Roman"/>
                  <w:color w:val="0000ff"/>
                  <w:sz w:val="20"/>
                  <w:szCs w:val="20"/>
                  <w:u w:val="single"/>
                  <w:rtl w:val="0"/>
                </w:rPr>
                <w:t xml:space="preserve">https://hucentral.kpsys.cz/#!/</w:t>
              </w:r>
            </w:hyperlink>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t xml:space="preserve">Historický ústav AVČR – mapová sbírka: </w:t>
            </w:r>
            <w:hyperlink r:id="rId16">
              <w:r w:rsidDel="00000000" w:rsidR="00000000" w:rsidRPr="00000000">
                <w:rPr>
                  <w:color w:val="0000ff"/>
                  <w:u w:val="single"/>
                  <w:rtl w:val="0"/>
                </w:rPr>
                <w:t xml:space="preserve">http://www.hiu.cas.cz/cs/mapova-sbirka/dejiny-a-soucasnost.ep/</w:t>
              </w:r>
            </w:hyperlink>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tc>
      </w:tr>
      <w:tr>
        <w:tc>
          <w:tcPr>
            <w:gridSpan w:val="8"/>
            <w:tcBorders>
              <w:top w:color="000000" w:space="0" w:sz="12"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BC">
            <w:pPr>
              <w:jc w:val="center"/>
              <w:rPr>
                <w:b w:val="1"/>
              </w:rPr>
            </w:pPr>
            <w:r w:rsidDel="00000000" w:rsidR="00000000" w:rsidRPr="00000000">
              <w:rPr>
                <w:b w:val="1"/>
                <w:rtl w:val="0"/>
              </w:rPr>
              <w:t xml:space="preserve">Informace ke kombinované nebo distanční formě</w:t>
            </w:r>
          </w:p>
        </w:tc>
      </w:tr>
      <w:tr>
        <w:tc>
          <w:tcPr>
            <w:gridSpan w:val="3"/>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C4">
            <w:pPr>
              <w:jc w:val="both"/>
              <w:rPr/>
            </w:pPr>
            <w:r w:rsidDel="00000000" w:rsidR="00000000" w:rsidRPr="00000000">
              <w:rPr>
                <w:b w:val="1"/>
                <w:rtl w:val="0"/>
              </w:rPr>
              <w:t xml:space="preserve">Rozsah konzultací (soustředění)</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jc w:val="center"/>
              <w:rPr/>
            </w:pPr>
            <w:r w:rsidDel="00000000" w:rsidR="00000000" w:rsidRPr="00000000">
              <w:rPr>
                <w:highlight w:val="yellow"/>
                <w:rtl w:val="0"/>
              </w:rPr>
              <w:t xml:space="preserve">2</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C8">
            <w:pPr>
              <w:jc w:val="both"/>
              <w:rPr>
                <w:b w:val="1"/>
              </w:rPr>
            </w:pPr>
            <w:r w:rsidDel="00000000" w:rsidR="00000000" w:rsidRPr="00000000">
              <w:rPr>
                <w:b w:val="1"/>
                <w:rtl w:val="0"/>
              </w:rPr>
              <w:t xml:space="preserve">hodin </w:t>
            </w:r>
          </w:p>
        </w:tc>
      </w:tr>
      <w:tr>
        <w:tc>
          <w:tcPr>
            <w:gridSpan w:val="8"/>
            <w:tcBorders>
              <w:top w:color="000000" w:space="0" w:sz="4" w:val="single"/>
              <w:left w:color="000000" w:space="0" w:sz="4" w:val="single"/>
              <w:bottom w:color="000000" w:space="0" w:sz="4" w:val="single"/>
              <w:right w:color="000000" w:space="0" w:sz="4" w:val="single"/>
            </w:tcBorders>
            <w:shd w:fill="f7cbac" w:val="clear"/>
          </w:tcPr>
          <w:p w:rsidR="00000000" w:rsidDel="00000000" w:rsidP="00000000" w:rsidRDefault="00000000" w:rsidRPr="00000000" w14:paraId="000000CC">
            <w:pPr>
              <w:jc w:val="both"/>
              <w:rPr>
                <w:b w:val="1"/>
              </w:rPr>
            </w:pPr>
            <w:r w:rsidDel="00000000" w:rsidR="00000000" w:rsidRPr="00000000">
              <w:rPr>
                <w:rtl w:val="0"/>
              </w:rPr>
              <w:t xml:space="preserve">Poměr přímé výuky a samostudia odpovídá charakteru studijního předmětu a použitým výukovým metodám. V kombinované formě studia představuje přímá výuka formou blokových přednášek/cvičení/seminářů přibližně 22 % výuky v prezenční formě studia, v nekontaktní části samostudia lze využít individuální elektronické konzultace (zejména e-mail, Skype apod.) a elektronické opory. Pro předmět je připravena e-learningová studijní opora, která je dostupná na: https://elearning.fp.tul.cz/course/index.php?categoryid=55.</w:t>
            </w:r>
            <w:r w:rsidDel="00000000" w:rsidR="00000000" w:rsidRPr="00000000">
              <w:rPr>
                <w:rtl w:val="0"/>
              </w:rPr>
            </w:r>
          </w:p>
        </w:tc>
      </w:tr>
      <w:tr>
        <w:trPr>
          <w:trHeight w:val="416" w:hRule="atLeast"/>
        </w:trPr>
        <w:tc>
          <w:tcPr>
            <w:gridSpan w:val="8"/>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tc>
      </w:tr>
    </w:tbl>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vusav.sk/data/uploads/publikacie/regionalna_identita_2007.pdf" TargetMode="External"/><Relationship Id="rId10" Type="http://schemas.openxmlformats.org/officeDocument/2006/relationships/hyperlink" Target="http://www.sscnet.ucla.edu/soc/faculty/brubaker/" TargetMode="External"/><Relationship Id="rId13" Type="http://schemas.openxmlformats.org/officeDocument/2006/relationships/hyperlink" Target="http://www.svusav.sk/data/uploads/publikacie/regionalna_identita_2007.pdf" TargetMode="External"/><Relationship Id="rId12" Type="http://schemas.openxmlformats.org/officeDocument/2006/relationships/hyperlink" Target="http://forumhistoriae.sk/documents/10180/286159/RozpadUhorsk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forumhistoriae.sk/documents/10180/887951/Kovac_Sondy-2013.pdf" TargetMode="External"/><Relationship Id="rId15" Type="http://schemas.openxmlformats.org/officeDocument/2006/relationships/hyperlink" Target="https://hucentral.kpsys.cz/#!/" TargetMode="External"/><Relationship Id="rId14" Type="http://schemas.openxmlformats.org/officeDocument/2006/relationships/hyperlink" Target="http://dejiny.unipo.sk/PDF/Dejiny_1_2006.pdf" TargetMode="External"/><Relationship Id="rId16" Type="http://schemas.openxmlformats.org/officeDocument/2006/relationships/hyperlink" Target="http://www.hiu.cas.cz/cs/mapova-sbirka/dejiny-a-soucasnost.ep/" TargetMode="External"/><Relationship Id="rId5" Type="http://schemas.openxmlformats.org/officeDocument/2006/relationships/styles" Target="styles.xml"/><Relationship Id="rId6" Type="http://schemas.openxmlformats.org/officeDocument/2006/relationships/hyperlink" Target="https://www.nln.cz/knihy/cechoslovakismus/" TargetMode="External"/><Relationship Id="rId7" Type="http://schemas.openxmlformats.org/officeDocument/2006/relationships/hyperlink" Target="https://www.academia.edu/37730089/%C4%8Ceskoslovensk%C3%BD_n%C3%A1rod_jako_ide%C3%A1l_a_jako_touha_The_Czechoslovak_nation_as_an_ideal_and_a_desire" TargetMode="External"/><Relationship Id="rId8" Type="http://schemas.openxmlformats.org/officeDocument/2006/relationships/hyperlink" Target="http://www.shnnitra.ff.ukf.sk/wp-content/uploads/Rychli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